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b w:val="1"/>
          <w:color w:val="222222"/>
          <w:sz w:val="20"/>
          <w:szCs w:val="20"/>
          <w:highlight w:val="whit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r w:rsidDel="00000000" w:rsidR="00000000" w:rsidRPr="00000000">
        <w:rPr>
          <w:rtl w:val="0"/>
        </w:rPr>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Reference documents:</w:t>
      </w:r>
      <w:r w:rsidDel="00000000" w:rsidR="00000000" w:rsidRPr="00000000">
        <w:rPr>
          <w:rFonts w:ascii="Arial" w:cs="Arial" w:eastAsia="Arial" w:hAnsi="Arial"/>
          <w:sz w:val="18"/>
          <w:szCs w:val="18"/>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18"/>
                <w:szCs w:val="18"/>
              </w:rPr>
            </w:pPr>
            <w:r w:rsidDel="00000000" w:rsidR="00000000" w:rsidRPr="00000000">
              <w:rPr>
                <w:rFonts w:ascii="Arial" w:cs="Arial" w:eastAsia="Arial" w:hAnsi="Arial"/>
                <w:sz w:val="18"/>
                <w:szCs w:val="18"/>
                <w:rtl w:val="0"/>
              </w:rPr>
              <w:t xml:space="preserve">Approved Code of Practice for The Management of Substances Hazardous to Health in The Place of Work Published July 1997 by the Occupational Safety and Health Service, Department of Labour,</w:t>
            </w:r>
          </w:p>
        </w:tc>
      </w:tr>
      <w:tr>
        <w:tc>
          <w:tcPr/>
          <w:p w:rsidR="00000000" w:rsidDel="00000000" w:rsidP="00000000" w:rsidRDefault="00000000" w:rsidRPr="00000000" w14:paraId="0000001F">
            <w:pPr>
              <w:rPr>
                <w:rFonts w:ascii="Arial" w:cs="Arial" w:eastAsia="Arial" w:hAnsi="Arial"/>
                <w:sz w:val="18"/>
                <w:szCs w:val="18"/>
              </w:rPr>
            </w:pPr>
            <w:r w:rsidDel="00000000" w:rsidR="00000000" w:rsidRPr="00000000">
              <w:rPr>
                <w:rFonts w:ascii="Arial" w:cs="Arial" w:eastAsia="Arial" w:hAnsi="Arial"/>
                <w:sz w:val="18"/>
                <w:szCs w:val="18"/>
                <w:rtl w:val="0"/>
              </w:rPr>
              <w:t xml:space="preserve">Mould – Risks to Health from moulds and other fungi – 2002 Department of Labour</w:t>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b w:val="1"/>
          <w:color w:val="222222"/>
          <w:sz w:val="20"/>
          <w:szCs w:val="20"/>
          <w:highlight w:val="white"/>
          <w:rtl w:val="0"/>
        </w:rPr>
        <w:t xml:space="preserve">Prior to commencing any work on the worksite please ensure you have read and understood the Safety Procedures Section of your HazardCo resources. Ensure that the worksite is set up as per the Work Preparation Page.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 ID and risk management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1"/>
        <w:gridCol w:w="1877"/>
        <w:gridCol w:w="3119"/>
        <w:gridCol w:w="5733"/>
        <w:tblGridChange w:id="0">
          <w:tblGrid>
            <w:gridCol w:w="3221"/>
            <w:gridCol w:w="1877"/>
            <w:gridCol w:w="3119"/>
            <w:gridCol w:w="5733"/>
          </w:tblGrid>
        </w:tblGridChange>
      </w:tblGrid>
      <w:tr>
        <w:trPr>
          <w:trHeight w:val="520" w:hRule="atLeast"/>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2F">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2">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tc>
      </w:tr>
      <w:tr>
        <w:trPr>
          <w:trHeight w:val="3060" w:hRule="atLeast"/>
        </w:trPr>
        <w:tc>
          <w:tcPr>
            <w:vAlign w:val="center"/>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cleaning mouldy materials or surfaces?</w:t>
            </w:r>
          </w:p>
        </w:tc>
        <w:tc>
          <w:tcPr>
            <w:vAlign w:val="center"/>
          </w:tcPr>
          <w:p w:rsidR="00000000" w:rsidDel="00000000" w:rsidP="00000000" w:rsidRDefault="00000000" w:rsidRPr="00000000" w14:paraId="0000003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Inhalation of mould spores resulting in illness, incident or death</w:t>
            </w:r>
          </w:p>
        </w:tc>
        <w:tc>
          <w:tcPr/>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workers kept clear of work area (E);</w:t>
            </w:r>
          </w:p>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 Mould identified prior to works and appropriate warning signage is in place (M);</w:t>
            </w:r>
          </w:p>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sz w:val="18"/>
                <w:szCs w:val="18"/>
                <w:rtl w:val="0"/>
              </w:rPr>
              <w:t xml:space="preserve">☐ Only workers trained and competent will enter and work in mould exposed areas (M);</w:t>
            </w:r>
          </w:p>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18"/>
                <w:szCs w:val="18"/>
                <w:rtl w:val="0"/>
              </w:rPr>
              <w:t xml:space="preserve">☐ Clean-up of mould exposed areas will be performed whilst area is still wet (M);</w:t>
            </w:r>
          </w:p>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18"/>
                <w:szCs w:val="18"/>
                <w:rtl w:val="0"/>
              </w:rPr>
              <w:t xml:space="preserve">☐ The correct PPE will be used e.g. respirators/fitted dust, disposable overalls, gloves, and will be fitted correctly e.g. facial hair will prevent correct seal with face (M);</w:t>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Yearly lung function tests will be carried out as part of a Health Monitoring Plan, to ensure no workers are suffering any ill effects from the work they are carrying out (M);</w:t>
            </w:r>
          </w:p>
        </w:tc>
      </w:tr>
      <w:tr>
        <w:trPr>
          <w:trHeight w:val="2620" w:hRule="atLeast"/>
        </w:trPr>
        <w:tc>
          <w:tcPr>
            <w:vAlign w:val="center"/>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have appropriate containment and removal procedures in place?</w:t>
            </w:r>
          </w:p>
        </w:tc>
        <w:tc>
          <w:tcPr>
            <w:vAlign w:val="center"/>
          </w:tcPr>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Mould spore contamination resulting in illness, incident or death</w:t>
            </w:r>
          </w:p>
        </w:tc>
        <w:tc>
          <w:tcPr/>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 Work area will be sealed off from other parts of the building i.e. taping up all openings (M);</w:t>
            </w:r>
          </w:p>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 Mould effected materials will be disposed of in sealable plastic bags (M);</w:t>
            </w:r>
          </w:p>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 On completion, all surfaces in sealed area will be thoroughly vacuumed using a HEPA filtered vacuum (M);</w:t>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 Decontamination area will be available for removal of protective equipment (M);</w:t>
            </w:r>
          </w:p>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 Washing facilities will be available (M);</w:t>
            </w:r>
          </w:p>
          <w:p w:rsidR="00000000" w:rsidDel="00000000" w:rsidP="00000000" w:rsidRDefault="00000000" w:rsidRPr="00000000" w14:paraId="00000046">
            <w:pPr>
              <w:rPr>
                <w:rFonts w:ascii="Arial" w:cs="Arial" w:eastAsia="Arial" w:hAnsi="Arial"/>
                <w:sz w:val="18"/>
                <w:szCs w:val="18"/>
                <w:highlight w:val="yellow"/>
              </w:rPr>
            </w:pPr>
            <w:r w:rsidDel="00000000" w:rsidR="00000000" w:rsidRPr="00000000">
              <w:rPr>
                <w:rtl w:val="0"/>
              </w:rPr>
            </w:r>
          </w:p>
        </w:tc>
      </w:tr>
      <w:tr>
        <w:trPr>
          <w:trHeight w:val="520" w:hRule="atLeast"/>
        </w:trPr>
        <w:tc>
          <w:tcPr>
            <w:gridSpan w:val="2"/>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8">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4B">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4D">
            <w:pPr>
              <w:rPr>
                <w:rFonts w:ascii="Arial" w:cs="Arial" w:eastAsia="Arial" w:hAnsi="Arial"/>
                <w:b w:val="1"/>
                <w:sz w:val="18"/>
                <w:szCs w:val="18"/>
              </w:rPr>
            </w:pPr>
            <w:r w:rsidDel="00000000" w:rsidR="00000000" w:rsidRPr="00000000">
              <w:rPr>
                <w:rtl w:val="0"/>
              </w:rPr>
            </w:r>
          </w:p>
        </w:tc>
      </w:tr>
      <w:tr>
        <w:trPr>
          <w:trHeight w:val="1500" w:hRule="atLeast"/>
        </w:trPr>
        <w:tc>
          <w:tcPr>
            <w:vAlign w:val="center"/>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established a set down area for mouldy material waste?</w:t>
            </w:r>
          </w:p>
        </w:tc>
        <w:tc>
          <w:tcPr>
            <w:vAlign w:val="center"/>
          </w:tcPr>
          <w:p w:rsidR="00000000" w:rsidDel="00000000" w:rsidP="00000000" w:rsidRDefault="00000000" w:rsidRPr="00000000" w14:paraId="0000004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vehicles and exposure to mould spores resulting in injury, illness, incident or death.</w:t>
            </w:r>
          </w:p>
        </w:tc>
        <w:tc>
          <w:tcPr/>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sz w:val="18"/>
                <w:szCs w:val="18"/>
                <w:rtl w:val="0"/>
              </w:rPr>
              <w:t xml:space="preserve">☐ A set down area will be established to contain mouldy material prior to disposal (M);</w:t>
            </w:r>
          </w:p>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 Access to the set down area will be restricted to workers involved in removal using barricades/fencing (M);</w:t>
            </w:r>
          </w:p>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☐The set down area will be contained to prevent contamination eg lined bins or marked area protected by polythene sheeting (M);</w:t>
            </w:r>
          </w:p>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 A clear area for pick-up trucks will be established (M).</w:t>
            </w:r>
          </w:p>
          <w:p w:rsidR="00000000" w:rsidDel="00000000" w:rsidP="00000000" w:rsidRDefault="00000000" w:rsidRPr="00000000" w14:paraId="000000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tc>
      </w:tr>
      <w:tr>
        <w:trPr>
          <w:trHeight w:val="2060" w:hRule="atLeast"/>
        </w:trPr>
        <w:tc>
          <w:tcPr>
            <w:vAlign w:val="center"/>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using hazardous substances eg bleach, cleaning products etc</w:t>
            </w:r>
            <w:r w:rsidDel="00000000" w:rsidR="00000000" w:rsidRPr="00000000">
              <w:rPr>
                <w:rtl w:val="0"/>
              </w:rPr>
            </w:r>
          </w:p>
        </w:tc>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Poisoning, chemical burns, dermatitis, eye injuries and respiratory problems (from contact or handling) resulting in injury, illness or death</w:t>
            </w:r>
          </w:p>
          <w:p w:rsidR="00000000" w:rsidDel="00000000" w:rsidP="00000000" w:rsidRDefault="00000000" w:rsidRPr="00000000" w14:paraId="0000005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Only what we need will be stored in the workplace (M);</w:t>
            </w:r>
          </w:p>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plan in place and emergency equipment available eg fire extinguisher, spill kit (M); </w:t>
            </w:r>
          </w:p>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 Correct storage, handling and disposal procedures (M);</w:t>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provided with the relevant information, training, instructions and supervision (M);</w:t>
            </w:r>
          </w:p>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 All substances recorded on the Hazardous Substance and Waste Register and Safety Data Sheets (SDS) are readily available (M); </w:t>
            </w:r>
          </w:p>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 Required PPE will be used eg, respirator, gloves etc (M).</w:t>
            </w:r>
          </w:p>
        </w:tc>
      </w:tr>
      <w:tr>
        <w:tc>
          <w:tcPr>
            <w:vAlign w:val="center"/>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falling from height?</w:t>
            </w:r>
          </w:p>
        </w:tc>
        <w:tc>
          <w:tcPr>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 resulting in injury, incident or death</w:t>
            </w:r>
          </w:p>
          <w:p w:rsidR="00000000" w:rsidDel="00000000" w:rsidP="00000000" w:rsidRDefault="00000000" w:rsidRPr="00000000" w14:paraId="0000006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 Refer to the ‘Working at Heights’ TA  </w:t>
            </w:r>
          </w:p>
        </w:tc>
      </w:tr>
      <w:tr>
        <w:tc>
          <w:tcPr>
            <w:vAlign w:val="center"/>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hand and power tools to be used?</w:t>
            </w:r>
          </w:p>
        </w:tc>
        <w:tc>
          <w:tcPr>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tool and practices resulting in injury, incident or death from incorrect use</w:t>
            </w:r>
          </w:p>
        </w:tc>
        <w:tc>
          <w:tcPr/>
          <w:p w:rsidR="00000000" w:rsidDel="00000000" w:rsidP="00000000" w:rsidRDefault="00000000" w:rsidRPr="00000000" w14:paraId="000000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using tools to be competent or supervised by a competent person (M);</w:t>
            </w:r>
          </w:p>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to be checked in good condition before use, with guards in place and leads tagged (M);</w:t>
            </w:r>
          </w:p>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 Equipment to be serviced regularly (M);</w:t>
            </w:r>
          </w:p>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to keep clear of any moving parts (M);</w:t>
            </w:r>
          </w:p>
          <w:p w:rsidR="00000000" w:rsidDel="00000000" w:rsidP="00000000" w:rsidRDefault="00000000" w:rsidRPr="00000000" w14:paraId="0000006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PPE to be used (M);</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to be used correctly (M).</w:t>
            </w:r>
          </w:p>
        </w:tc>
      </w:tr>
      <w:tr>
        <w:tc>
          <w:tcPr>
            <w:vAlign w:val="center"/>
          </w:tcPr>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anyone be working at night or in poor lighting?</w:t>
            </w:r>
            <w:r w:rsidDel="00000000" w:rsidR="00000000" w:rsidRPr="00000000">
              <w:rPr>
                <w:rtl w:val="0"/>
              </w:rPr>
            </w:r>
          </w:p>
        </w:tc>
        <w:tc>
          <w:tcPr>
            <w:vAlign w:val="center"/>
          </w:tcPr>
          <w:p w:rsidR="00000000" w:rsidDel="00000000" w:rsidP="00000000" w:rsidRDefault="00000000" w:rsidRPr="00000000" w14:paraId="0000007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slips, trips and falls resulting in injury, incident or death</w:t>
            </w:r>
          </w:p>
        </w:tc>
        <w:tc>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to be used where there is insufficient natural light (M)</w:t>
            </w:r>
          </w:p>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 No lone work at night (M);</w:t>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 Clear communication procedures in place (M).</w:t>
            </w:r>
          </w:p>
          <w:p w:rsidR="00000000" w:rsidDel="00000000" w:rsidP="00000000" w:rsidRDefault="00000000" w:rsidRPr="00000000" w14:paraId="00000075">
            <w:pPr>
              <w:rPr>
                <w:rFonts w:ascii="Arial" w:cs="Arial" w:eastAsia="Arial" w:hAnsi="Arial"/>
                <w:sz w:val="18"/>
                <w:szCs w:val="18"/>
              </w:rPr>
            </w:pPr>
            <w:r w:rsidDel="00000000" w:rsidR="00000000" w:rsidRPr="00000000">
              <w:rPr>
                <w:rtl w:val="0"/>
              </w:rPr>
            </w:r>
          </w:p>
        </w:tc>
      </w:tr>
      <w:tr>
        <w:trPr>
          <w:trHeight w:val="880" w:hRule="atLeast"/>
        </w:trPr>
        <w:tc>
          <w:tcPr>
            <w:gridSpan w:val="2"/>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7">
            <w:pPr>
              <w:jc w:val="cente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7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tc>
      </w:tr>
      <w:tr>
        <w:trPr>
          <w:trHeight w:val="1080" w:hRule="atLeast"/>
        </w:trPr>
        <w:tc>
          <w:tcPr>
            <w:vAlign w:val="center"/>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Body stressing causing sprains and strains resulting in injury.</w:t>
            </w:r>
          </w:p>
        </w:tc>
        <w:tc>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(E);</w:t>
            </w: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the correct manual handling techniques (bend knees, keep back straight, lift with your legs, keep load close in front of you) (M);</w:t>
            </w:r>
            <w:r w:rsidDel="00000000" w:rsidR="00000000" w:rsidRPr="00000000">
              <w:rPr>
                <w:rtl w:val="0"/>
              </w:rPr>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noise levels be below accepted levels (sustained noise over 8 hours below 85 dB or peak noise below 140 dB).</w:t>
            </w:r>
          </w:p>
        </w:tc>
        <w:tc>
          <w:tcPr>
            <w:vAlign w:val="center"/>
          </w:tcPr>
          <w:p w:rsidR="00000000" w:rsidDel="00000000" w:rsidP="00000000" w:rsidRDefault="00000000" w:rsidRPr="00000000" w14:paraId="0000008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High noise levels resulting in Noise Induced Hearing Loss (NIHL)</w:t>
            </w:r>
          </w:p>
        </w:tc>
        <w:tc>
          <w:tcPr/>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tc>
      </w:tr>
      <w:tr>
        <w:trPr>
          <w:trHeight w:val="880" w:hRule="atLeast"/>
        </w:trPr>
        <w:tc>
          <w:tcPr>
            <w:vAlign w:val="center"/>
          </w:tcPr>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2">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A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task information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A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BB">
      <w:pPr>
        <w:rPr>
          <w:rFonts w:ascii="Arial" w:cs="Arial" w:eastAsia="Arial" w:hAnsi="Arial"/>
          <w:sz w:val="18"/>
          <w:szCs w:val="18"/>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C">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ind w:left="-107"/>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E">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Signage required:</w:t>
            </w:r>
          </w:p>
        </w:tc>
      </w:tr>
      <w:tr>
        <w:trPr>
          <w:trHeight w:val="220" w:hRule="atLeast"/>
        </w:trPr>
        <w:tc>
          <w:tcPr/>
          <w:p w:rsidR="00000000" w:rsidDel="00000000" w:rsidP="00000000" w:rsidRDefault="00000000" w:rsidRPr="00000000" w14:paraId="000000B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B">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C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Work method statement</w:t>
      </w:r>
    </w:p>
    <w:p w:rsidR="00000000" w:rsidDel="00000000" w:rsidP="00000000" w:rsidRDefault="00000000" w:rsidRPr="00000000" w14:paraId="000000CE">
      <w:pPr>
        <w:rPr>
          <w:rFonts w:ascii="Arial" w:cs="Arial" w:eastAsia="Arial" w:hAnsi="Arial"/>
          <w:sz w:val="18"/>
          <w:szCs w:val="18"/>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Done</w:t>
            </w:r>
          </w:p>
        </w:tc>
      </w:tr>
      <w:tr>
        <w:trPr>
          <w:trHeight w:val="560" w:hRule="atLeast"/>
        </w:trPr>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Safety briefing</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F3">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w:t>
            </w:r>
          </w:p>
          <w:p w:rsidR="00000000" w:rsidDel="00000000" w:rsidP="00000000" w:rsidRDefault="00000000" w:rsidRPr="00000000" w14:paraId="000000F4">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6">
            <w:pPr>
              <w:ind w:left="-66"/>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F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A">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8">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18"/>
                <w:szCs w:val="18"/>
              </w:rPr>
            </w:pPr>
            <w:r w:rsidDel="00000000" w:rsidR="00000000" w:rsidRPr="00000000">
              <w:rPr>
                <w:rtl w:val="0"/>
              </w:rPr>
            </w:r>
          </w:p>
        </w:tc>
      </w:tr>
      <w:tr>
        <w:trPr>
          <w:trHeight w:val="520" w:hRule="atLeast"/>
        </w:trPr>
        <w:tc>
          <w:tcPr/>
          <w:p w:rsidR="00000000" w:rsidDel="00000000" w:rsidP="00000000" w:rsidRDefault="00000000" w:rsidRPr="00000000" w14:paraId="0000010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C">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1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1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1A">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1F">
      <w:pPr>
        <w:rPr>
          <w:rFonts w:ascii="Arial" w:cs="Arial" w:eastAsia="Arial" w:hAnsi="Arial"/>
          <w:sz w:val="18"/>
          <w:szCs w:val="18"/>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0">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2">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4">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w:t>
            </w:r>
          </w:p>
          <w:p w:rsidR="00000000" w:rsidDel="00000000" w:rsidP="00000000" w:rsidRDefault="00000000" w:rsidRPr="00000000" w14:paraId="00000125">
            <w:pPr>
              <w:ind w:left="-107"/>
              <w:rPr>
                <w:rFonts w:ascii="Arial" w:cs="Arial" w:eastAsia="Arial" w:hAnsi="Arial"/>
                <w:b w:val="1"/>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12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7">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B">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rPr>
          <w:rFonts w:ascii="Arial" w:cs="Arial" w:eastAsia="Arial" w:hAnsi="Arial"/>
          <w:sz w:val="18"/>
          <w:szCs w:val="18"/>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March 2018</w:t>
      <w:tab/>
      <w:tab/>
      <w:tab/>
      <w:tab/>
      <w:tab/>
      <w:tab/>
      <w:tab/>
      <w:t xml:space="preserve">Page </w:t>
    </w:r>
  </w:p>
  <w:p w:rsidR="00000000" w:rsidDel="00000000" w:rsidP="00000000" w:rsidRDefault="00000000" w:rsidRPr="00000000" w14:paraId="0000013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Mould Cleaning and Removal Task Analysis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